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Post-Publication Integrity Review:</w:t>
        <w:br/>
        <w:t>Klein and Clark on AI and Education</w:t>
      </w:r>
    </w:p>
    <w:p>
      <w:r>
        <w:t>This post applies the PSA Post Integrity Checklist to the previously published PSA commentary on Klein and Clark’s discussion of AI agents and education. The goal is not revision for its own sake, but disciplined review to ensure clarity, local grounding, and responsible framing for nonprofit and community audiences.</w:t>
      </w:r>
    </w:p>
    <w:p>
      <w:pPr>
        <w:pStyle w:val="Heading2"/>
      </w:pPr>
      <w:r>
        <w:t>1. Source Grounding</w:t>
      </w:r>
    </w:p>
    <w:p>
      <w:r>
        <w:t>The PSA post accurately reflects the broad argument that AI is shifting learning architecture and influencing cognition. However, readers should be reminded that many claims about long-term cognitive transformation remain emergent and not yet fully validated by longitudinal research.</w:t>
      </w:r>
    </w:p>
    <w:p>
      <w:pPr>
        <w:pStyle w:val="Heading2"/>
      </w:pPr>
      <w:r>
        <w:t>2. Hidden Assumptions Identified</w:t>
      </w:r>
    </w:p>
    <w:p>
      <w:r>
        <w:t>The analysis appears to assume:</w:t>
      </w:r>
    </w:p>
    <w:p>
      <w:pPr>
        <w:pStyle w:val="ListBullet"/>
      </w:pPr>
      <w:r>
        <w:t>Stable broadband and device access across education settings.</w:t>
      </w:r>
    </w:p>
    <w:p>
      <w:pPr>
        <w:pStyle w:val="ListBullet"/>
      </w:pPr>
      <w:r>
        <w:t>Institutional AI policy clarity and governance readiness.</w:t>
      </w:r>
    </w:p>
    <w:p>
      <w:pPr>
        <w:pStyle w:val="ListBullet"/>
      </w:pPr>
      <w:r>
        <w:t>Teacher fluency with AI tools.</w:t>
      </w:r>
    </w:p>
    <w:p>
      <w:pPr>
        <w:pStyle w:val="ListBullet"/>
      </w:pPr>
      <w:r>
        <w:t>Student readiness for AI-augmented learning.</w:t>
      </w:r>
    </w:p>
    <w:p>
      <w:pPr>
        <w:pStyle w:val="ListBullet"/>
      </w:pPr>
      <w:r>
        <w:t>Equitable access to AI-enabled environments.</w:t>
      </w:r>
    </w:p>
    <w:p>
      <w:pPr>
        <w:pStyle w:val="Heading2"/>
      </w:pPr>
      <w:r>
        <w:t>3. Meaning Gaps</w:t>
      </w:r>
    </w:p>
    <w:p>
      <w:r>
        <w:t>Certain conceptual terms such as “AI-native cognition” and “Mentats” risk abstraction without operational clarity. The post would benefit from distinguishing between philosophical framing and practical classroom implementation realities.</w:t>
      </w:r>
    </w:p>
    <w:p>
      <w:pPr>
        <w:pStyle w:val="Heading2"/>
      </w:pPr>
      <w:r>
        <w:t>4. Local Context Translation (Nonprofit / NM Lens)</w:t>
      </w:r>
    </w:p>
    <w:p>
      <w:pPr>
        <w:pStyle w:val="ListBullet"/>
      </w:pPr>
      <w:r>
        <w:t>Rural infrastructure gaps may limit AI-native experimentation.</w:t>
      </w:r>
    </w:p>
    <w:p>
      <w:pPr>
        <w:pStyle w:val="ListBullet"/>
      </w:pPr>
      <w:r>
        <w:t>Small nonprofit capacity constraints must shape adoption pace.</w:t>
      </w:r>
    </w:p>
    <w:p>
      <w:pPr>
        <w:pStyle w:val="ListBullet"/>
      </w:pPr>
      <w:r>
        <w:t>Promotora and community-based models require cultural grounding.</w:t>
      </w:r>
    </w:p>
    <w:p>
      <w:pPr>
        <w:pStyle w:val="ListBullet"/>
      </w:pPr>
      <w:r>
        <w:t>AI augmentation must remain disciplined, not identity-driven.</w:t>
      </w:r>
    </w:p>
    <w:p>
      <w:pPr>
        <w:pStyle w:val="Heading2"/>
      </w:pPr>
      <w:r>
        <w:t>5. Governance and Risk Considerations</w:t>
      </w:r>
    </w:p>
    <w:p>
      <w:r>
        <w:t>The post should explicitly clarify that AI-assisted cognition requires: human oversight, data protection safeguards, and transparency regarding AI’s role in analysis. Without these guardrails, enthusiasm may outpace responsible practice.</w:t>
      </w:r>
    </w:p>
    <w:p>
      <w:pPr>
        <w:pStyle w:val="Heading2"/>
      </w:pPr>
      <w:r>
        <w:t>Conclusion</w:t>
      </w:r>
    </w:p>
    <w:p>
      <w:r>
        <w:t>The PSA commentary holds conceptual value and aligns with emerging conversations about AI and learning. However, localized experimentation, equity safeguards, and governance clarity must accompany forward-looking analysis. PSA’s role is not to amplify inevitability, but to model disciplined augmentation in service of community benefit.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